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微软雅黑" w:cs="微软雅黑" w:eastAsia="微软雅黑" w:hAnsi="微软雅黑"/>
          <w:b/>
          <w:bCs/>
          <w:color w:val="1E4E79"/>
          <w:sz w:val="52"/>
          <w:szCs w:val="52"/>
        </w:rPr>
        <w:t xml:space="preserve">注塑工厂规划咨询报告</w:t>
      </w:r>
    </w:p>
    <w:p>
      <w:pPr>
        <w:spacing w:before="400"/>
      </w:pPr>
    </w:p>
    <w:p>
      <w:pPr>
        <w:jc w:val="center"/>
      </w:pPr>
      <w:r>
        <w:rPr>
          <w:rFonts w:ascii="微软雅黑" w:cs="微软雅黑" w:eastAsia="微软雅黑" w:hAnsi="微软雅黑"/>
          <w:color w:val="2E75B6"/>
          <w:sz w:val="32"/>
          <w:szCs w:val="32"/>
        </w:rPr>
        <w:t xml:space="preserve">新厂规划与旧厂改造潜在需求分析</w:t>
      </w:r>
    </w:p>
    <w:p>
      <w:pPr>
        <w:spacing w:before="800"/>
      </w:pPr>
    </w:p>
    <w:p>
      <w:pPr>
        <w:spacing w:before="100" w:after="100"/>
        <w:jc w:val="center"/>
      </w:pPr>
      <w:r>
        <w:rPr>
          <w:color w:val="5B9BD5"/>
          <w:sz w:val="24"/>
          <w:szCs w:val="24"/>
        </w:rPr>
        <w:t xml:space="preserve">━━━━━━━━━━━━━━━━━━━━━━━━━━━━━━━━━━━</w:t>
      </w:r>
    </w:p>
    <w:p>
      <w:pPr>
        <w:spacing w:before="400"/>
      </w:pPr>
    </w:p>
    <w:p>
      <w:pPr>
        <w:jc w:val="center"/>
      </w:pPr>
      <w:r>
        <w:rPr>
          <w:rFonts w:ascii="微软雅黑" w:cs="微软雅黑" w:eastAsia="微软雅黑" w:hAnsi="微软雅黑"/>
          <w:i/>
          <w:iCs/>
          <w:color w:val="333333"/>
          <w:sz w:val="24"/>
          <w:szCs w:val="24"/>
        </w:rPr>
        <w:t xml:space="preserve">聚焦生产浪费 · 提升运营效率 · 数字化转型</w:t>
      </w:r>
    </w:p>
    <w:p>
      <w:pPr>
        <w:spacing w:before="2500"/>
      </w:pPr>
    </w:p>
    <w:p>
      <w:pPr>
        <w:jc w:val="center"/>
      </w:pPr>
      <w:r>
        <w:rPr>
          <w:rFonts w:ascii="微软雅黑" w:cs="微软雅黑" w:eastAsia="微软雅黑" w:hAnsi="微软雅黑"/>
          <w:color w:val="666666"/>
          <w:sz w:val="22"/>
          <w:szCs w:val="22"/>
        </w:rPr>
        <w:t xml:space="preserve">版本：V1.0</w:t>
      </w:r>
    </w:p>
    <w:p>
      <w:pPr>
        <w:spacing w:before="100"/>
        <w:jc w:val="center"/>
      </w:pPr>
      <w:r>
        <w:rPr>
          <w:rFonts w:ascii="微软雅黑" w:cs="微软雅黑" w:eastAsia="微软雅黑" w:hAnsi="微软雅黑"/>
          <w:color w:val="666666"/>
          <w:sz w:val="22"/>
          <w:szCs w:val="22"/>
        </w:rPr>
        <w:t xml:space="preserve">日期：2026年1月</w:t>
      </w:r>
    </w:p>
    <w:p>
      <w:r>
        <w:br w:type="page"/>
      </w:r>
    </w:p>
    <w:p>
      <w:pPr>
        <w:spacing w:before="400" w:after="200"/>
      </w:pPr>
      <w:r>
        <w:rPr>
          <w:rFonts w:ascii="微软雅黑" w:cs="微软雅黑" w:eastAsia="微软雅黑" w:hAnsi="微软雅黑"/>
          <w:b/>
          <w:bCs/>
          <w:color w:val="1E4E79"/>
          <w:sz w:val="36"/>
          <w:szCs w:val="36"/>
        </w:rPr>
        <w:t xml:space="preserve">目  录</w:t>
      </w:r>
    </w:p>
    <w:p>
      <w:pPr>
        <w:spacing w:before="300"/>
      </w:pP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一、报告概述 .................................................. 3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二、注塑工厂核心痛点分析 .................................... 4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三、旧厂改造六大关键模块 .................................... 6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四、新厂规划建议 ............................................ 12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五、投资回报分析 ............................................ 14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六、实施路线图 .............................................. 15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七、总结与建议 .............................................. 16</w:t>
      </w:r>
    </w:p>
    <w:p>
      <w:r>
        <w:br w:type="page"/>
      </w:r>
    </w:p>
    <w:p>
      <w:pPr>
        <w:spacing w:before="400" w:after="200"/>
      </w:pPr>
      <w:r>
        <w:rPr>
          <w:rFonts w:ascii="微软雅黑" w:cs="微软雅黑" w:eastAsia="微软雅黑" w:hAnsi="微软雅黑"/>
          <w:b/>
          <w:bCs/>
          <w:color w:val="1E4E79"/>
          <w:sz w:val="36"/>
          <w:szCs w:val="36"/>
        </w:rPr>
        <w:t xml:space="preserve">一、报告概述</w:t>
      </w:r>
    </w:p>
    <w:p>
      <w:pPr>
        <w:spacing w:before="3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1.1 背景与目的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随着制造业竞争日益激烈，注塑行业面临着成本上升、人力短缺、品质要求提高等多重压力。无论是新建工厂的规划，还是现有工厂的改造升级，都需要系统性地识别痛点、制定方案，以提升整体运营效率和竞争力。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本报告旨在为注塑工厂规划师提供一份系统化的需求分析框架，帮助识别客户的核心痛点，并提供针对性的解决方案建议。报告特别聚焦于【围绕生产而产生的浪费】这一核心议题，这也是撬动旧厂改造最有力的切入点。</w:t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1.2 适用范围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新建注塑工厂的整体规划与布局设计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现有注塑工厂的诊断评估与改造升级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单一模块（如自动化、数字化）的专项改善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注塑车间的精益化改造项目</w:t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1.3 核心价值主张</w:t>
      </w:r>
    </w:p>
    <w:p>
      <w:pPr>
        <w:shd w:fill="FFE699" w:val="clear"/>
        <w:spacing w:before="150" w:after="150"/>
        <w:ind w:left="400" w:right="400"/>
      </w:pPr>
      <w:r>
        <w:rPr>
          <w:rFonts w:ascii="微软雅黑" w:cs="微软雅黑" w:eastAsia="微软雅黑" w:hAnsi="微软雅黑"/>
          <w:b/>
          <w:bCs/>
          <w:color w:val="333333"/>
          <w:sz w:val="22"/>
          <w:szCs w:val="22"/>
        </w:rPr>
        <w:t xml:space="preserve">💡 旧厂改造的关键在于精准识别生产浪费，通过数字化手段实现可视化管理，从而撬动整体效率提升。这是最能击中客户痛点的切入方式。</w:t>
      </w:r>
    </w:p>
    <w:p>
      <w:r>
        <w:br w:type="page"/>
      </w:r>
    </w:p>
    <w:p>
      <w:pPr>
        <w:spacing w:before="400" w:after="200"/>
      </w:pPr>
      <w:r>
        <w:rPr>
          <w:rFonts w:ascii="微软雅黑" w:cs="微软雅黑" w:eastAsia="微软雅黑" w:hAnsi="微软雅黑"/>
          <w:b/>
          <w:bCs/>
          <w:color w:val="1E4E79"/>
          <w:sz w:val="36"/>
          <w:szCs w:val="36"/>
        </w:rPr>
        <w:t xml:space="preserve">二、注塑工厂核心痛点分析</w:t>
      </w:r>
    </w:p>
    <w:p>
      <w:pPr>
        <w:spacing w:before="3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2.1 痛点全景图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基于大量注塑工厂的调研与实践经验，我们将运营中的核心痛点归纳为以下六大类别。这些痛点相互关联，形成系统性的效率损失链条。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000"/>
        <w:gridCol w:w="1500"/>
        <w:gridCol w:w="1860"/>
      </w:tblGrid>
      <w:tr>
        <w:trPr>
          <w:tblHeader/>
        </w:trPr>
        <w:tc>
          <w:tcPr>
            <w:tcW w:type="dxa" w:w="2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痛点类别</w:t>
            </w:r>
          </w:p>
        </w:tc>
        <w:tc>
          <w:tcPr>
            <w:tcW w:type="dxa" w:w="4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具体问题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影响程度</w:t>
            </w:r>
          </w:p>
        </w:tc>
        <w:tc>
          <w:tcPr>
            <w:tcW w:type="dxa" w:w="1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改善优先级</w:t>
            </w:r>
          </w:p>
        </w:tc>
      </w:tr>
      <w:tr>
        <w:tc>
          <w:tcPr>
            <w:tcW w:type="dxa" w:w="2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原材料浪费</w:t>
            </w:r>
          </w:p>
        </w:tc>
        <w:tc>
          <w:tcPr>
            <w:tcW w:type="dxa" w:w="4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水口料回收率低、混料污染、烘干不足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1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模具温控</w:t>
            </w:r>
          </w:p>
        </w:tc>
        <w:tc>
          <w:tcPr>
            <w:tcW w:type="dxa" w:w="4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温度波动大、预热时间长、冷却不均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1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周边自动化</w:t>
            </w:r>
          </w:p>
        </w:tc>
        <w:tc>
          <w:tcPr>
            <w:tcW w:type="dxa" w:w="4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人工分料、手动装箱、检测效率低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1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★★★★☆</w:t>
            </w:r>
          </w:p>
        </w:tc>
      </w:tr>
      <w:tr>
        <w:tc>
          <w:tcPr>
            <w:tcW w:type="dxa" w:w="2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物流动线</w:t>
            </w:r>
          </w:p>
        </w:tc>
        <w:tc>
          <w:tcPr>
            <w:tcW w:type="dxa" w:w="4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物料流转混乱、库位管理粗放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1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★★★★☆</w:t>
            </w:r>
          </w:p>
        </w:tc>
      </w:tr>
      <w:tr>
        <w:tc>
          <w:tcPr>
            <w:tcW w:type="dxa" w:w="2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数字化管理</w:t>
            </w:r>
          </w:p>
        </w:tc>
        <w:tc>
          <w:tcPr>
            <w:tcW w:type="dxa" w:w="4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数据孤岛、响应滞后、追溯困难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1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设备利用率</w:t>
            </w:r>
          </w:p>
        </w:tc>
        <w:tc>
          <w:tcPr>
            <w:tcW w:type="dxa" w:w="4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换模时间长、故障停机频繁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1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★★★☆☆</w:t>
            </w:r>
          </w:p>
        </w:tc>
      </w:tr>
      <w:tr>
        <w:tc>
          <w:tcPr>
            <w:tcW w:type="dxa" w:w="2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品质管控</w:t>
            </w:r>
          </w:p>
        </w:tc>
        <w:tc>
          <w:tcPr>
            <w:tcW w:type="dxa" w:w="4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检测标准不一、追溯链条断裂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1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★★★★☆</w:t>
            </w:r>
          </w:p>
        </w:tc>
      </w:tr>
    </w:tbl>
    <w:p>
      <w:pPr>
        <w:spacing w:before="4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2.2 痛点详细解读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2.2.1 原材料浪费问题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水口料回收利用率低：缺乏标准化的回收流程，水口料分类不清、存放混乱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原料烘干不充分：导致产品缺陷，增加返工成本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配色管理混乱：色母添加不精准，换色清洗耗时长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库存积压与呆滞：缺乏有效的物料管理系统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2.2.2 模具温度管控问题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温度波动大：模温机老化或控制精度不足，影响产品一致性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预热时间过长：首件合格时间延长，降低设备利用率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冷却不均匀：导致产品变形、缩水等缺陷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能源浪费：温控系统效率低下，能耗成本居高不下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2.2.3 周边自动化不足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料头分离：依赖人工操作，效率低且存在安全隐患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自动摆盘与装箱：人工作业速度慢，易造成产品损伤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CCD视觉检测：缺乏自动化检测手段，漏检率高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简易装配：后工序衔接不畅，半成品积压严重</w:t>
      </w:r>
    </w:p>
    <w:p>
      <w:r>
        <w:br w:type="page"/>
      </w:r>
    </w:p>
    <w:p>
      <w:pPr>
        <w:spacing w:before="400" w:after="200"/>
      </w:pPr>
      <w:r>
        <w:rPr>
          <w:rFonts w:ascii="微软雅黑" w:cs="微软雅黑" w:eastAsia="微软雅黑" w:hAnsi="微软雅黑"/>
          <w:b/>
          <w:bCs/>
          <w:color w:val="1E4E79"/>
          <w:sz w:val="36"/>
          <w:szCs w:val="36"/>
        </w:rPr>
        <w:t xml:space="preserve">三、旧厂改造六大关键模块</w:t>
      </w:r>
    </w:p>
    <w:p>
      <w:pPr>
        <w:spacing w:before="300"/>
      </w:pP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针对上述痛点，我们提出六大改造模块，每个模块都可独立实施，也可系统集成，形成完整的智能制造解决方案。</w:t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3.1 原材料回收利用系统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现状问题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水口料与成品混放，缺乏分类标识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回收料比例控制不精准，影响产品品质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粉碎机分散布置，噪音大、粉尘多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改善方案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集中式粉碎房设计：独立隔音空间，配置除尘系统，改善作业环境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自动配料系统：精确控制新料与回收料的混合比例，确保品质稳定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水口料追溯系统：条码管理，实现批次追溯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真空输送系统：减少物料搬运，降低污染风险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预期效益</w:t>
      </w:r>
    </w:p>
    <w:p>
      <w:pPr>
        <w:shd w:fill="FFE699" w:val="clear"/>
        <w:spacing w:before="150" w:after="150"/>
        <w:ind w:left="400" w:right="400"/>
      </w:pPr>
      <w:r>
        <w:rPr>
          <w:rFonts w:ascii="微软雅黑" w:cs="微软雅黑" w:eastAsia="微软雅黑" w:hAnsi="微软雅黑"/>
          <w:b/>
          <w:bCs/>
          <w:color w:val="333333"/>
          <w:sz w:val="22"/>
          <w:szCs w:val="22"/>
        </w:rPr>
        <w:t xml:space="preserve">💡 材料成本节省5-15%，人工搬运减少60%，品质稳定性提升显著</w:t>
      </w:r>
    </w:p>
    <w:p>
      <w:pPr>
        <w:spacing w:before="4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3.2 模具温度智能管控系统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现状问题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模温机分散控制，缺乏集中监控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温度参数依赖经验设定，缺乏数据支撑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异常响应滞后，导致批量不良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改善方案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智能模温机升级：高精度控温（±0.5°C），支持远程监控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集中供水系统：冷却水/热水集中供应，提高能效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温度预测模型：基于历史数据，自动优化温控参数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异常预警系统：温度偏差实时报警，快速响应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预期效益</w:t>
      </w:r>
    </w:p>
    <w:p>
      <w:pPr>
        <w:shd w:fill="FFE699" w:val="clear"/>
        <w:spacing w:before="150" w:after="150"/>
        <w:ind w:left="400" w:right="400"/>
      </w:pPr>
      <w:r>
        <w:rPr>
          <w:rFonts w:ascii="微软雅黑" w:cs="微软雅黑" w:eastAsia="微软雅黑" w:hAnsi="微软雅黑"/>
          <w:b/>
          <w:bCs/>
          <w:color w:val="333333"/>
          <w:sz w:val="22"/>
          <w:szCs w:val="22"/>
        </w:rPr>
        <w:t xml:space="preserve">💡 注塑周期缩短8-15%，首件合格时间减少30%，能耗降低10-20%</w:t>
      </w:r>
    </w:p>
    <w:p>
      <w:r>
        <w:br w:type="page"/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3.3 注塑周边自动化集成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现状问题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料头分离依赖人工，效率低、安全风险大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产品摆盘靠人工，速度慢且规整度差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装箱作业人工密集，劳动强度大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目视检测漏检多，品质成本高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改善方案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自动料头分离机：与机械手配合，实现产品/料头自动分流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自动摆盘系统：根据产品形状定制治具，整齐排列入盘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自动装箱线：产品计数、装箱、封箱一体化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CCD视觉检测：在线检测外观缺陷，自动剔除不良品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简易装配工站：后工序衔接，减少在制品积压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预期效益</w:t>
      </w:r>
    </w:p>
    <w:p>
      <w:pPr>
        <w:shd w:fill="FFE699" w:val="clear"/>
        <w:spacing w:before="150" w:after="150"/>
        <w:ind w:left="400" w:right="400"/>
      </w:pPr>
      <w:r>
        <w:rPr>
          <w:rFonts w:ascii="微软雅黑" w:cs="微软雅黑" w:eastAsia="微软雅黑" w:hAnsi="微软雅黑"/>
          <w:b/>
          <w:bCs/>
          <w:color w:val="333333"/>
          <w:sz w:val="22"/>
          <w:szCs w:val="22"/>
        </w:rPr>
        <w:t xml:space="preserve">💡 人力需求减少50-70%，检测效率提升300%，产品损伤率降低80%</w:t>
      </w:r>
    </w:p>
    <w:p>
      <w:pPr>
        <w:spacing w:before="4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3.4 现场物流动线优化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现状问题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物料流转路线混乱，交叉作业频繁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成品/半成品/包材混放，库位管理粗放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搬运距离长，物流成本高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找料耗时，影响生产效率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改善方案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物流动线重新规划：U型或直线布局，减少交叉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库位标识系统：定置定位，可视化管理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AGV自动搬运：关键路径自动化，减少人工搬运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WMS仓库管理系统：实时库存、先进先出、智能配送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预期效益</w:t>
      </w:r>
    </w:p>
    <w:p>
      <w:pPr>
        <w:shd w:fill="FFE699" w:val="clear"/>
        <w:spacing w:before="150" w:after="150"/>
        <w:ind w:left="400" w:right="400"/>
      </w:pPr>
      <w:r>
        <w:rPr>
          <w:rFonts w:ascii="微软雅黑" w:cs="微软雅黑" w:eastAsia="微软雅黑" w:hAnsi="微软雅黑"/>
          <w:b/>
          <w:bCs/>
          <w:color w:val="333333"/>
          <w:sz w:val="22"/>
          <w:szCs w:val="22"/>
        </w:rPr>
        <w:t xml:space="preserve">💡 搬运距离缩短40%，找料时间减少70%，库存准确率提升至99%以上</w:t>
      </w:r>
    </w:p>
    <w:p>
      <w:r>
        <w:br w:type="page"/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3.5 注塑车间数字化管理系统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这是旧厂改造中最具战略价值的模块，也是撬动整体改善的核心杠杆。通过数字化手段，可以让隐性浪费显性化，为持续改善提供数据支撑。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核心功能模块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2"/>
          <w:szCs w:val="22"/>
        </w:rPr>
        <w:t xml:space="preserve">【设备工效管理】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OEE（设备综合效率）实时监控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设备稼动率、性能率、良品率分析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停机原因分类统计与改善追踪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2"/>
          <w:szCs w:val="22"/>
        </w:rPr>
        <w:t xml:space="preserve">【人机工时管理】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作业人员与设备的绑定关系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人均产能、人均效率分析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技能矩阵与多能工培养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2"/>
          <w:szCs w:val="22"/>
        </w:rPr>
        <w:t xml:space="preserve">【产能报工系统】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实时产量采集（自动计数/扫码报工）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产能达成率可视化看板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超产/欠产预警与原因分析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2"/>
          <w:szCs w:val="22"/>
        </w:rPr>
        <w:t xml:space="preserve">【异常安灯系统】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设备异常、品质异常、物料异常分级报警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异常响应时间记录与考核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异常处理闭环管理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2"/>
          <w:szCs w:val="22"/>
        </w:rPr>
        <w:t xml:space="preserve">【订单进度追踪】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订单与产线/模具的排程可视化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交期预警与进度追踪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客户订单完成率分析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2"/>
          <w:szCs w:val="22"/>
        </w:rPr>
        <w:t xml:space="preserve">【品质异常管理】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不良品类别统计与柏拉图分析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品质异常追溯（人/机/料/法/环）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SPC过程能力分析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2"/>
          <w:szCs w:val="22"/>
        </w:rPr>
        <w:t xml:space="preserve">【模具状态管理】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模具寿命监控（模次计数）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保养计划自动提醒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模具履历档案数字化</w:t>
      </w:r>
    </w:p>
    <w:p>
      <w:pPr>
        <w:spacing w:before="200" w:after="100"/>
      </w:pPr>
      <w:r>
        <w:rPr>
          <w:rFonts w:ascii="微软雅黑" w:cs="微软雅黑" w:eastAsia="微软雅黑" w:hAnsi="微软雅黑"/>
          <w:b/>
          <w:bCs/>
          <w:color w:val="2E75B6"/>
          <w:sz w:val="24"/>
          <w:szCs w:val="24"/>
        </w:rPr>
        <w:t xml:space="preserve">预期效益</w:t>
      </w:r>
    </w:p>
    <w:p>
      <w:pPr>
        <w:shd w:fill="FFE699" w:val="clear"/>
        <w:spacing w:before="150" w:after="150"/>
        <w:ind w:left="400" w:right="400"/>
      </w:pPr>
      <w:r>
        <w:rPr>
          <w:rFonts w:ascii="微软雅黑" w:cs="微软雅黑" w:eastAsia="微软雅黑" w:hAnsi="微软雅黑"/>
          <w:b/>
          <w:bCs/>
          <w:color w:val="333333"/>
          <w:sz w:val="22"/>
          <w:szCs w:val="22"/>
        </w:rPr>
        <w:t xml:space="preserve">💡 设备综合效率（OEE）提升15-25%，异常响应时间缩短50%，数据决策能力质的飞跃</w:t>
      </w:r>
    </w:p>
    <w:p>
      <w:r>
        <w:br w:type="page"/>
      </w:r>
    </w:p>
    <w:p>
      <w:pPr>
        <w:spacing w:before="400" w:after="200"/>
      </w:pPr>
      <w:r>
        <w:rPr>
          <w:rFonts w:ascii="微软雅黑" w:cs="微软雅黑" w:eastAsia="微软雅黑" w:hAnsi="微软雅黑"/>
          <w:b/>
          <w:bCs/>
          <w:color w:val="1E4E79"/>
          <w:sz w:val="36"/>
          <w:szCs w:val="36"/>
        </w:rPr>
        <w:t xml:space="preserve">四、新厂规划建议</w:t>
      </w:r>
    </w:p>
    <w:p>
      <w:pPr>
        <w:spacing w:before="300"/>
      </w:pP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新厂规划具有【从零开始】的优势，可以系统性地规避旧厂存在的问题，建议在规划阶段就将以下要素纳入考量：</w:t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4.1 厂房布局规划原则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物流动线优先：以物料流动为核心，规划最短、最顺畅的物流路径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模块化设计：预留扩展空间，支持产能弹性调整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人机分离：明确人行通道与物流通道，保障安全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环境分区：洁净度、温湿度按工艺要求分区管控</w:t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4.2 设备选型与配置建议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注塑机：优先选择全电动机或伺服节能机型，配置自动化接口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辅机系统：集中供料、集中除湿、集中冷却，提高效率与能效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自动化配套：在规划阶段同步考虑机械手、周边自动化的集成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数据采集：所有设备预留数据接口，支持后续数字化升级</w:t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4.3 数字化基础设施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网络基础：工业级网络覆盖，支持大量设备同时在线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数据中台：统一的数据平台架构，避免信息孤岛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MES系统：在建厂初期就导入制造执行系统，固化最佳实践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可视化看板：车间现场部署实时监控大屏，信息透明化</w:t>
      </w:r>
    </w:p>
    <w:p>
      <w:r>
        <w:br w:type="page"/>
      </w:r>
    </w:p>
    <w:p>
      <w:pPr>
        <w:spacing w:before="400" w:after="200"/>
      </w:pPr>
      <w:r>
        <w:rPr>
          <w:rFonts w:ascii="微软雅黑" w:cs="微软雅黑" w:eastAsia="微软雅黑" w:hAnsi="微软雅黑"/>
          <w:b/>
          <w:bCs/>
          <w:color w:val="1E4E79"/>
          <w:sz w:val="36"/>
          <w:szCs w:val="36"/>
        </w:rPr>
        <w:t xml:space="preserve">五、投资回报分析</w:t>
      </w:r>
    </w:p>
    <w:p>
      <w:pPr>
        <w:spacing w:before="3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5.1 各模块投资效益对比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3000"/>
        <w:gridCol w:w="2360"/>
      </w:tblGrid>
      <w:tr>
        <w:trPr>
          <w:tblHeader/>
        </w:trPr>
        <w:tc>
          <w:tcPr>
            <w:tcW w:type="dxa" w:w="2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改善项目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投资规模</w:t>
            </w:r>
          </w:p>
        </w:tc>
        <w:tc>
          <w:tcPr>
            <w:tcW w:type="dxa" w:w="3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预期效益</w:t>
            </w:r>
          </w:p>
        </w:tc>
        <w:tc>
          <w:tcPr>
            <w:tcW w:type="dxa" w:w="23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回收周期</w:t>
            </w:r>
          </w:p>
        </w:tc>
      </w:tr>
      <w:tr>
        <w:tc>
          <w:tcPr>
            <w:tcW w:type="dxa" w:w="2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原材料回收系统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3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节省材料成本5-15%</w:t>
            </w:r>
          </w:p>
        </w:tc>
        <w:tc>
          <w:tcPr>
            <w:tcW w:type="dxa" w:w="23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12-18个月</w:t>
            </w:r>
          </w:p>
        </w:tc>
      </w:tr>
      <w:tr>
        <w:tc>
          <w:tcPr>
            <w:tcW w:type="dxa" w:w="2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模温机智能控制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中低</w:t>
            </w:r>
          </w:p>
        </w:tc>
        <w:tc>
          <w:tcPr>
            <w:tcW w:type="dxa" w:w="3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缩短周期8-15%</w:t>
            </w:r>
          </w:p>
        </w:tc>
        <w:tc>
          <w:tcPr>
            <w:tcW w:type="dxa" w:w="23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6-12个月</w:t>
            </w:r>
          </w:p>
        </w:tc>
      </w:tr>
      <w:tr>
        <w:tc>
          <w:tcPr>
            <w:tcW w:type="dxa" w:w="2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周边自动化集成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3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人力节省50-70%</w:t>
            </w:r>
          </w:p>
        </w:tc>
        <w:tc>
          <w:tcPr>
            <w:tcW w:type="dxa" w:w="23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18-24个月</w:t>
            </w:r>
          </w:p>
        </w:tc>
      </w:tr>
      <w:tr>
        <w:tc>
          <w:tcPr>
            <w:tcW w:type="dxa" w:w="2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物流AGV系统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中高</w:t>
            </w:r>
          </w:p>
        </w:tc>
        <w:tc>
          <w:tcPr>
            <w:tcW w:type="dxa" w:w="3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效率提升30-50%</w:t>
            </w:r>
          </w:p>
        </w:tc>
        <w:tc>
          <w:tcPr>
            <w:tcW w:type="dxa" w:w="23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18-24个月</w:t>
            </w:r>
          </w:p>
        </w:tc>
      </w:tr>
      <w:tr>
        <w:tc>
          <w:tcPr>
            <w:tcW w:type="dxa" w:w="2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MES数字化系统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中</w:t>
            </w:r>
          </w:p>
        </w:tc>
        <w:tc>
          <w:tcPr>
            <w:tcW w:type="dxa" w:w="30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综合效率提升15-25%</w:t>
            </w:r>
          </w:p>
        </w:tc>
        <w:tc>
          <w:tcPr>
            <w:tcW w:type="dxa" w:w="23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12-18个月</w:t>
            </w:r>
          </w:p>
        </w:tc>
      </w:tr>
    </w:tbl>
    <w:p>
      <w:pPr>
        <w:spacing w:before="4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5.2 投资优先级建议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根据【投入产出比】和【见效速度】两个维度，建议的投资优先顺序如下：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第一优先级：数字化管理系统（MES）——投资适中，见效快，是撬动整体改善的杠杆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第二优先级：模温机智能控制——投资较低，直接缩短生产周期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第三优先级：原材料回收系统——成本节省明显，回收周期适中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第四优先级：周边自动化集成——投资较大，但人力节省效果显著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第五优先级：物流AGV系统——可与数字化系统配合，分步实施</w:t>
      </w:r>
    </w:p>
    <w:p>
      <w:r>
        <w:br w:type="page"/>
      </w:r>
    </w:p>
    <w:p>
      <w:pPr>
        <w:spacing w:before="400" w:after="200"/>
      </w:pPr>
      <w:r>
        <w:rPr>
          <w:rFonts w:ascii="微软雅黑" w:cs="微软雅黑" w:eastAsia="微软雅黑" w:hAnsi="微软雅黑"/>
          <w:b/>
          <w:bCs/>
          <w:color w:val="1E4E79"/>
          <w:sz w:val="36"/>
          <w:szCs w:val="36"/>
        </w:rPr>
        <w:t xml:space="preserve">六、实施路线图</w:t>
      </w:r>
    </w:p>
    <w:p>
      <w:pPr>
        <w:spacing w:before="3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6.1 旧厂改造实施阶段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2800"/>
        <w:gridCol w:w="2860"/>
      </w:tblGrid>
      <w:tr>
        <w:trPr>
          <w:tblHeader/>
        </w:trPr>
        <w:tc>
          <w:tcPr>
            <w:tcW w:type="dxa" w:w="22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阶段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时间</w:t>
            </w:r>
          </w:p>
        </w:tc>
        <w:tc>
          <w:tcPr>
            <w:tcW w:type="dxa" w:w="28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主要内容</w:t>
            </w:r>
          </w:p>
        </w:tc>
        <w:tc>
          <w:tcPr>
            <w:tcW w:type="dxa" w:w="2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1E4E79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FFFFFF"/>
                <w:sz w:val="22"/>
                <w:szCs w:val="22"/>
              </w:rPr>
              <w:t xml:space="preserve">预期成果</w:t>
            </w:r>
          </w:p>
        </w:tc>
      </w:tr>
      <w:tr>
        <w:tc>
          <w:tcPr>
            <w:tcW w:type="dxa" w:w="22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第一阶段：诊断评估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1-2个月</w:t>
            </w:r>
          </w:p>
        </w:tc>
        <w:tc>
          <w:tcPr>
            <w:tcW w:type="dxa" w:w="28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现场调研、数据采集、痛点梳理</w:t>
            </w:r>
          </w:p>
        </w:tc>
        <w:tc>
          <w:tcPr>
            <w:tcW w:type="dxa" w:w="2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完整的改善需求清单</w:t>
            </w:r>
          </w:p>
        </w:tc>
      </w:tr>
      <w:tr>
        <w:tc>
          <w:tcPr>
            <w:tcW w:type="dxa" w:w="22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第二阶段：方案设计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2-3个月</w:t>
            </w:r>
          </w:p>
        </w:tc>
        <w:tc>
          <w:tcPr>
            <w:tcW w:type="dxa" w:w="28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技术选型、投资测算、ROI分析</w:t>
            </w:r>
          </w:p>
        </w:tc>
        <w:tc>
          <w:tcPr>
            <w:tcW w:type="dxa" w:w="2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可落地的改善方案</w:t>
            </w:r>
          </w:p>
        </w:tc>
      </w:tr>
      <w:tr>
        <w:tc>
          <w:tcPr>
            <w:tcW w:type="dxa" w:w="22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第三阶段：试点验证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3-6个月</w:t>
            </w:r>
          </w:p>
        </w:tc>
        <w:tc>
          <w:tcPr>
            <w:tcW w:type="dxa" w:w="28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选择典型产线、分模块实施</w:t>
            </w:r>
          </w:p>
        </w:tc>
        <w:tc>
          <w:tcPr>
            <w:tcW w:type="dxa" w:w="2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验证改善效果</w:t>
            </w:r>
          </w:p>
        </w:tc>
      </w:tr>
      <w:tr>
        <w:tc>
          <w:tcPr>
            <w:tcW w:type="dxa" w:w="22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第四阶段：全面推广</w:t>
            </w:r>
          </w:p>
        </w:tc>
        <w:tc>
          <w:tcPr>
            <w:tcW w:type="dxa" w:w="15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6-12个月</w:t>
            </w:r>
          </w:p>
        </w:tc>
        <w:tc>
          <w:tcPr>
            <w:tcW w:type="dxa" w:w="280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标准化复制、系统集成</w:t>
            </w:r>
          </w:p>
        </w:tc>
        <w:tc>
          <w:tcPr>
            <w:tcW w:type="dxa" w:w="2860"/>
            <w:tcBorders>
              <w:top w:val="single" w:color="BFBFBF" w:sz="8"/>
              <w:left w:val="single" w:color="BFBFBF" w:sz="8"/>
              <w:bottom w:val="single" w:color="BFBFBF" w:sz="8"/>
              <w:right w:val="single" w:color="BFBFBF" w:sz="8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微软雅黑" w:cs="微软雅黑" w:eastAsia="微软雅黑" w:hAnsi="微软雅黑"/>
                <w:color w:val="333333"/>
                <w:sz w:val="20"/>
                <w:szCs w:val="20"/>
              </w:rPr>
              <w:t xml:space="preserve">全厂数字化升级</w:t>
            </w:r>
          </w:p>
        </w:tc>
      </w:tr>
    </w:tbl>
    <w:p>
      <w:pPr>
        <w:spacing w:before="4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6.2 关键成功因素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高层支持：改造项目需要高层的坚定支持和资源投入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全员参与：一线员工的参与和认可是成功的关键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分步实施：避免一步到位，通过小步快跑降低风险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数据驱动：以数据为依据，持续跟踪改善效果</w:t>
      </w:r>
    </w:p>
    <w:p>
      <w:pPr>
        <w:pStyle w:val="ListParagraph"/>
        <w:numPr>
          <w:ilvl w:val="0"/>
          <w:numId w:val="2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专业支持：借助外部专业团队的经验和方法论</w:t>
      </w:r>
    </w:p>
    <w:p>
      <w:r>
        <w:br w:type="page"/>
      </w:r>
    </w:p>
    <w:p>
      <w:pPr>
        <w:spacing w:before="400" w:after="200"/>
      </w:pPr>
      <w:r>
        <w:rPr>
          <w:rFonts w:ascii="微软雅黑" w:cs="微软雅黑" w:eastAsia="微软雅黑" w:hAnsi="微软雅黑"/>
          <w:b/>
          <w:bCs/>
          <w:color w:val="1E4E79"/>
          <w:sz w:val="36"/>
          <w:szCs w:val="36"/>
        </w:rPr>
        <w:t xml:space="preserve">七、总结与建议</w:t>
      </w:r>
    </w:p>
    <w:p>
      <w:pPr>
        <w:spacing w:before="300"/>
      </w:pP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7.1 核心结论</w:t>
      </w: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注塑工厂的竞争力提升，关键在于系统性地识别和消除生产浪费。无论是新厂规划还是旧厂改造，都应聚焦于以下核心要点：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原材料是成本大头，回收利用系统可直接带来成本节省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模具温控直接影响生产周期和品质，是提效的关键环节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周边自动化是缓解用工荒、提升效率的有效手段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物流动线优化能显著减少非增值作业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数字化管理是撬动整体改善的战略杠杆，应优先投入</w:t>
      </w:r>
    </w:p>
    <w:p>
      <w:pPr>
        <w:spacing w:before="300" w:after="150"/>
      </w:pPr>
      <w:r>
        <w:rPr>
          <w:rFonts w:ascii="微软雅黑" w:cs="微软雅黑" w:eastAsia="微软雅黑" w:hAnsi="微软雅黑"/>
          <w:b/>
          <w:bCs/>
          <w:color w:val="2E75B6"/>
          <w:sz w:val="28"/>
          <w:szCs w:val="28"/>
        </w:rPr>
        <w:t xml:space="preserve">7.2 行动建议</w:t>
      </w:r>
    </w:p>
    <w:p>
      <w:pPr>
        <w:shd w:fill="FFE699" w:val="clear"/>
        <w:spacing w:before="150" w:after="150"/>
        <w:ind w:left="400" w:right="400"/>
      </w:pPr>
      <w:r>
        <w:rPr>
          <w:rFonts w:ascii="微软雅黑" w:cs="微软雅黑" w:eastAsia="微软雅黑" w:hAnsi="微软雅黑"/>
          <w:b/>
          <w:bCs/>
          <w:color w:val="333333"/>
          <w:sz w:val="22"/>
          <w:szCs w:val="22"/>
        </w:rPr>
        <w:t xml:space="preserve">💡 对于旧厂改造项目，建议以【数字化管理系统】为切入点，通过数据可视化让浪费显性化，从而建立改善共识，撬动后续的自动化和设备升级投资。</w:t>
      </w:r>
    </w:p>
    <w:p>
      <w:pPr>
        <w:spacing w:before="200"/>
      </w:pPr>
    </w:p>
    <w:p>
      <w:pPr>
        <w:spacing w:before="120" w:after="120" w:line="360"/>
        <w:jc w:val="both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建议的具体行动步骤：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启动现场诊断，梳理痛点清单，识别改善机会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选择1-2条典型产线，实施数字化试点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基于试点数据，制定完整的改造规划</w:t>
      </w:r>
    </w:p>
    <w:p>
      <w:pPr>
        <w:pStyle w:val="ListParagraph"/>
        <w:numPr>
          <w:ilvl w:val="0"/>
          <w:numId w:val="3"/>
        </w:numPr>
        <w:spacing w:before="60" w:after="60" w:line="320"/>
      </w:pPr>
      <w:r>
        <w:rPr>
          <w:rFonts w:ascii="微软雅黑" w:cs="微软雅黑" w:eastAsia="微软雅黑" w:hAnsi="微软雅黑"/>
          <w:color w:val="333333"/>
          <w:sz w:val="22"/>
          <w:szCs w:val="22"/>
        </w:rPr>
        <w:t xml:space="preserve">分阶段实施，持续跟踪效果，迭代优化</w:t>
      </w:r>
    </w:p>
    <w:p>
      <w:pPr>
        <w:spacing w:before="400"/>
      </w:pPr>
    </w:p>
    <w:p>
      <w:pPr>
        <w:spacing w:before="200" w:after="200"/>
        <w:jc w:val="center"/>
      </w:pPr>
      <w:r>
        <w:rPr>
          <w:rFonts w:ascii="微软雅黑" w:cs="微软雅黑" w:eastAsia="微软雅黑" w:hAnsi="微软雅黑"/>
          <w:color w:val="2E75B6"/>
          <w:sz w:val="22"/>
          <w:szCs w:val="22"/>
        </w:rPr>
        <w:t xml:space="preserve">━━━━━  报告结束  ━━━━━</w:t>
      </w:r>
    </w:p>
    <w:p>
      <w:pPr>
        <w:jc w:val="center"/>
      </w:pPr>
      <w:r>
        <w:rPr>
          <w:rFonts w:ascii="微软雅黑" w:cs="微软雅黑" w:eastAsia="微软雅黑" w:hAnsi="微软雅黑"/>
          <w:color w:val="666666"/>
          <w:sz w:val="20"/>
          <w:szCs w:val="20"/>
        </w:rPr>
        <w:t xml:space="preserve">如需进一步的详细方案或现场诊断服务，欢迎联系</w:t>
      </w:r>
    </w:p>
    <w:sectPr>
      <w:headerReference w:type="default" r:id="rId6"/>
      <w:footerReference w:type="default" r:id="rId7"/>
      <w:pgSz w:w="11906" w:h="16838" w:orient="portrait"/>
      <w:pgMar w:top="1440" w:right="1200" w:bottom="144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微软雅黑" w:cs="微软雅黑" w:eastAsia="微软雅黑" w:hAnsi="微软雅黑"/>
        <w:color w:val="888888"/>
        <w:sz w:val="18"/>
        <w:szCs w:val="18"/>
      </w:rPr>
      <w:t xml:space="preserve">- </w:t>
    </w:r>
    <w:r>
      <w:rPr>
        <w:rFonts w:ascii="微软雅黑" w:cs="微软雅黑" w:eastAsia="微软雅黑" w:hAnsi="微软雅黑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微软雅黑" w:cs="微软雅黑" w:eastAsia="微软雅黑" w:hAnsi="微软雅黑"/>
        <w:color w:val="888888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微软雅黑" w:cs="微软雅黑" w:eastAsia="微软雅黑" w:hAnsi="微软雅黑"/>
        <w:color w:val="2E75B6"/>
        <w:sz w:val="18"/>
        <w:szCs w:val="18"/>
      </w:rPr>
      <w:t xml:space="preserve">注塑工厂规划咨询报告 | 机密文件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2026-01-06T07:33:47.328Z</dcterms:created>
  <dcterms:modified xsi:type="dcterms:W3CDTF">2026-01-06T07:33:47.329Z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